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50" w:rsidRPr="00590950" w:rsidRDefault="00590950" w:rsidP="00590950">
      <w:pPr>
        <w:spacing w:before="300" w:after="150" w:line="240" w:lineRule="auto"/>
        <w:outlineLvl w:val="1"/>
        <w:rPr>
          <w:rFonts w:ascii="open_sanssemibold" w:eastAsia="Times New Roman" w:hAnsi="open_sanssemibold" w:cs="Arial"/>
          <w:color w:val="333333"/>
          <w:kern w:val="36"/>
          <w:sz w:val="30"/>
          <w:szCs w:val="30"/>
          <w:lang w:eastAsia="fr-FR"/>
        </w:rPr>
      </w:pPr>
      <w:r w:rsidRPr="00590950">
        <w:rPr>
          <w:rFonts w:ascii="open_sanssemibold" w:eastAsia="Times New Roman" w:hAnsi="open_sanssemibold" w:cs="Arial"/>
          <w:color w:val="333333"/>
          <w:kern w:val="36"/>
          <w:sz w:val="30"/>
          <w:szCs w:val="30"/>
          <w:lang w:eastAsia="fr-FR"/>
        </w:rPr>
        <w:t>Incubateur Doctoral (ID) Sess</w:t>
      </w:r>
      <w:bookmarkStart w:id="0" w:name="_GoBack"/>
      <w:bookmarkEnd w:id="0"/>
      <w:r w:rsidRPr="00590950">
        <w:rPr>
          <w:rFonts w:ascii="open_sanssemibold" w:eastAsia="Times New Roman" w:hAnsi="open_sanssemibold" w:cs="Arial"/>
          <w:color w:val="333333"/>
          <w:kern w:val="36"/>
          <w:sz w:val="30"/>
          <w:szCs w:val="30"/>
          <w:lang w:eastAsia="fr-FR"/>
        </w:rPr>
        <w:t>ion 3 : Projet MIRRTICE</w:t>
      </w:r>
    </w:p>
    <w:p w:rsidR="00590950" w:rsidRPr="00590950" w:rsidRDefault="00590950" w:rsidP="00590950">
      <w:pPr>
        <w:spacing w:after="0" w:line="240" w:lineRule="auto"/>
        <w:rPr>
          <w:rFonts w:ascii="open_sanssemibold" w:eastAsia="Times New Roman" w:hAnsi="open_sanssemibold" w:cs="Arial"/>
          <w:color w:val="333333"/>
          <w:sz w:val="21"/>
          <w:szCs w:val="21"/>
          <w:lang w:eastAsia="fr-FR"/>
        </w:rPr>
      </w:pPr>
      <w:hyperlink r:id="rId6" w:history="1">
        <w:r w:rsidRPr="00590950">
          <w:rPr>
            <w:rFonts w:ascii="open_sanssemibold" w:eastAsia="Times New Roman" w:hAnsi="open_sanssemibold" w:cs="Arial"/>
            <w:color w:val="428BCA"/>
            <w:sz w:val="21"/>
            <w:szCs w:val="21"/>
            <w:lang w:eastAsia="fr-FR"/>
          </w:rPr>
          <w:t>MIRRTICE</w:t>
        </w:r>
      </w:hyperlink>
    </w:p>
    <w:p w:rsidR="00590950" w:rsidRPr="00590950" w:rsidRDefault="00590950" w:rsidP="00590950">
      <w:pPr>
        <w:spacing w:line="240" w:lineRule="auto"/>
        <w:rPr>
          <w:rFonts w:ascii="open_sanssemibold" w:eastAsia="Times New Roman" w:hAnsi="open_sanssemibold" w:cs="Arial"/>
          <w:color w:val="333333"/>
          <w:sz w:val="21"/>
          <w:szCs w:val="21"/>
          <w:lang w:eastAsia="fr-FR"/>
        </w:rPr>
      </w:pPr>
      <w:r>
        <w:rPr>
          <w:rFonts w:ascii="open_sanssemibold" w:eastAsia="Times New Roman" w:hAnsi="open_sanssemibold" w:cs="Arial"/>
          <w:noProof/>
          <w:color w:val="333333"/>
          <w:sz w:val="21"/>
          <w:szCs w:val="21"/>
          <w:lang w:eastAsia="fr-FR"/>
        </w:rPr>
        <w:drawing>
          <wp:inline distT="0" distB="0" distL="0" distR="0" wp14:anchorId="0470E7EB" wp14:editId="7A7DE641">
            <wp:extent cx="4572000" cy="4572000"/>
            <wp:effectExtent l="0" t="0" r="0" b="0"/>
            <wp:docPr id="1" name="Image 1" descr="http://ific.auf.org/sites/default/files/styles/large/public/appel_regions/appel-mirrtice.jpeg?itok=kEJ-lN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fic.auf.org/sites/default/files/styles/large/public/appel_regions/appel-mirrtice.jpeg?itok=kEJ-lN4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r>
        <w:rPr>
          <w:rFonts w:ascii="open_sanssemibold" w:eastAsia="Times New Roman" w:hAnsi="open_sanssemibold" w:cs="Arial"/>
          <w:noProof/>
          <w:color w:val="333333"/>
          <w:sz w:val="21"/>
          <w:szCs w:val="21"/>
          <w:lang w:eastAsia="fr-FR"/>
        </w:rPr>
        <w:drawing>
          <wp:inline distT="0" distB="0" distL="0" distR="0">
            <wp:extent cx="5760720" cy="2864860"/>
            <wp:effectExtent l="0" t="0" r="0" b="0"/>
            <wp:docPr id="2" name="Image 2" descr="C:\Users\user\Desktop\Images PUB\slid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 PUB\slide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864860"/>
                    </a:xfrm>
                    <a:prstGeom prst="rect">
                      <a:avLst/>
                    </a:prstGeom>
                    <a:noFill/>
                    <a:ln>
                      <a:noFill/>
                    </a:ln>
                  </pic:spPr>
                </pic:pic>
              </a:graphicData>
            </a:graphic>
          </wp:inline>
        </w:drawing>
      </w:r>
    </w:p>
    <w:p w:rsidR="00590950" w:rsidRPr="00590950" w:rsidRDefault="00590950" w:rsidP="00590950">
      <w:pPr>
        <w:spacing w:after="0" w:line="240" w:lineRule="auto"/>
        <w:rPr>
          <w:rFonts w:ascii="open_sanssemibold" w:eastAsia="Times New Roman" w:hAnsi="open_sanssemibold" w:cs="Arial"/>
          <w:color w:val="333333"/>
          <w:sz w:val="21"/>
          <w:szCs w:val="21"/>
          <w:lang w:eastAsia="fr-FR"/>
        </w:rPr>
      </w:pPr>
      <w:r w:rsidRPr="00590950">
        <w:rPr>
          <w:rFonts w:ascii="open_sanssemibold" w:eastAsia="Times New Roman" w:hAnsi="open_sanssemibold" w:cs="Arial"/>
          <w:color w:val="1C1C1C"/>
          <w:sz w:val="21"/>
          <w:szCs w:val="21"/>
          <w:lang w:eastAsia="fr-FR"/>
        </w:rPr>
        <w:t>28 octobre 2016</w:t>
      </w:r>
      <w:r w:rsidRPr="00590950">
        <w:rPr>
          <w:rFonts w:ascii="open_sanssemibold" w:eastAsia="Times New Roman" w:hAnsi="open_sanssemibold" w:cs="Arial"/>
          <w:color w:val="333333"/>
          <w:sz w:val="21"/>
          <w:szCs w:val="21"/>
          <w:lang w:eastAsia="fr-FR"/>
        </w:rPr>
        <w:t xml:space="preserve"> </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b/>
          <w:bCs/>
          <w:color w:val="FF0000"/>
          <w:sz w:val="27"/>
          <w:szCs w:val="27"/>
          <w:lang w:eastAsia="fr-FR"/>
        </w:rPr>
        <w:t>Prolongation de la période d'inscription à l'incubateur doctoral</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b/>
          <w:bCs/>
          <w:color w:val="333333"/>
          <w:sz w:val="21"/>
          <w:szCs w:val="21"/>
          <w:lang w:eastAsia="fr-FR"/>
        </w:rPr>
        <w:t>1- Présentation et objectif </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lastRenderedPageBreak/>
        <w:t>L’Institut de la Francophonie pour l’Ingénierie de la Connaissance et la Formation à Distance (IFIC) de l’Agence Universitaire de la Francophonie (AUF) lance un incubateur doctoral (ID) en partenariat avec un consortium d’universités francophones. </w:t>
      </w:r>
      <w:r w:rsidRPr="00590950">
        <w:rPr>
          <w:rFonts w:ascii="Arial" w:eastAsia="Times New Roman" w:hAnsi="Arial" w:cs="Arial"/>
          <w:color w:val="333333"/>
          <w:sz w:val="21"/>
          <w:szCs w:val="21"/>
          <w:lang w:eastAsia="fr-FR"/>
        </w:rPr>
        <w:br/>
        <w:t>L’incubateur s’inscrit dans le plus vaste projet de Mise en Réseau de la Recherche en TICE (MIRRTICE), visant à créer des compétences de recherche en technologie éducative dans les pays du pourtour méditerranéen, d’Afrique subsaharienne, de l’Europe centrale et orientale et de l'Asie Pacifique. </w:t>
      </w:r>
      <w:r w:rsidRPr="00590950">
        <w:rPr>
          <w:rFonts w:ascii="Arial" w:eastAsia="Times New Roman" w:hAnsi="Arial" w:cs="Arial"/>
          <w:color w:val="333333"/>
          <w:sz w:val="21"/>
          <w:szCs w:val="21"/>
          <w:lang w:eastAsia="fr-FR"/>
        </w:rPr>
        <w:br/>
        <w:t>En cohérence avec ces ambitions, le DU REN « recherche pour l’éducation numérique », en partenariat avec l'Université de Lille 1 (France) et le laboratoire TECFA (UNIGE, Suisse), qui est une formation pré-doctorale propédeutique à la thèse, vise à proposer à des étudiants de la francophonie une phase de préparation à une entrée ultérieure en thèse dans le domaine des technologies et services numériques pour la formation (initiale et continue).</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 xml:space="preserve">Pour plus d'informations, </w:t>
      </w:r>
      <w:hyperlink r:id="rId9" w:tgtFrame="_blank" w:history="1">
        <w:r w:rsidRPr="00590950">
          <w:rPr>
            <w:rFonts w:ascii="Arial" w:eastAsia="Times New Roman" w:hAnsi="Arial" w:cs="Arial"/>
            <w:color w:val="428BCA"/>
            <w:sz w:val="21"/>
            <w:szCs w:val="21"/>
            <w:lang w:eastAsia="fr-FR"/>
          </w:rPr>
          <w:t>une vidéo qui décrit le dispositif</w:t>
        </w:r>
      </w:hyperlink>
      <w:r w:rsidRPr="00590950">
        <w:rPr>
          <w:rFonts w:ascii="Arial" w:eastAsia="Times New Roman" w:hAnsi="Arial" w:cs="Arial"/>
          <w:color w:val="333333"/>
          <w:sz w:val="21"/>
          <w:szCs w:val="21"/>
          <w:lang w:eastAsia="fr-FR"/>
        </w:rPr>
        <w:t>.</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b/>
          <w:bCs/>
          <w:color w:val="333333"/>
          <w:sz w:val="21"/>
          <w:szCs w:val="21"/>
          <w:lang w:eastAsia="fr-FR"/>
        </w:rPr>
        <w:t>2- Déroulement de la formation </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Les enseignements et accompagnements sont assurés par des enseignants-chercheurs des universités partenaires. La formation se déroule entièrement en ligne avec des activités de recherche et de travail collaboratif. </w:t>
      </w:r>
      <w:r w:rsidRPr="00590950">
        <w:rPr>
          <w:rFonts w:ascii="Arial" w:eastAsia="Times New Roman" w:hAnsi="Arial" w:cs="Arial"/>
          <w:color w:val="333333"/>
          <w:sz w:val="21"/>
          <w:szCs w:val="21"/>
          <w:lang w:eastAsia="fr-FR"/>
        </w:rPr>
        <w:br/>
        <w:t>A l’issue de la formation, l’étudiant doit produire un projet de thèse (i.e. 20/30 pages solidement fondées, décrivant le projet de recherche et accompagné d’une bibliographie) qui va lui permettre de proposer sa candidature en tant que doctorant dans une des universités partenaires.</w:t>
      </w:r>
      <w:r w:rsidRPr="00590950">
        <w:rPr>
          <w:rFonts w:ascii="Arial" w:eastAsia="Times New Roman" w:hAnsi="Arial" w:cs="Arial"/>
          <w:color w:val="333333"/>
          <w:sz w:val="21"/>
          <w:szCs w:val="21"/>
          <w:lang w:eastAsia="fr-FR"/>
        </w:rPr>
        <w:br/>
        <w:t xml:space="preserve">La formation est </w:t>
      </w:r>
      <w:proofErr w:type="spellStart"/>
      <w:r w:rsidRPr="00590950">
        <w:rPr>
          <w:rFonts w:ascii="Arial" w:eastAsia="Times New Roman" w:hAnsi="Arial" w:cs="Arial"/>
          <w:color w:val="333333"/>
          <w:sz w:val="21"/>
          <w:szCs w:val="21"/>
          <w:lang w:eastAsia="fr-FR"/>
        </w:rPr>
        <w:t>tutorée</w:t>
      </w:r>
      <w:proofErr w:type="spellEnd"/>
      <w:r w:rsidRPr="00590950">
        <w:rPr>
          <w:rFonts w:ascii="Arial" w:eastAsia="Times New Roman" w:hAnsi="Arial" w:cs="Arial"/>
          <w:color w:val="333333"/>
          <w:sz w:val="21"/>
          <w:szCs w:val="21"/>
          <w:lang w:eastAsia="fr-FR"/>
        </w:rPr>
        <w:t xml:space="preserve"> à distance et dispensée sur une durée de 6 mois. Elle équivaut, à 225 heures de travail apprenant. </w:t>
      </w:r>
      <w:r w:rsidRPr="00590950">
        <w:rPr>
          <w:rFonts w:ascii="Arial" w:eastAsia="Times New Roman" w:hAnsi="Arial" w:cs="Arial"/>
          <w:color w:val="333333"/>
          <w:sz w:val="21"/>
          <w:szCs w:val="21"/>
          <w:lang w:eastAsia="fr-FR"/>
        </w:rPr>
        <w:br/>
        <w:t>Au cours de la formation, les étudiants auront à leur disposition un ensemble de ressources consultables en ligne permettant d’améliorer leurs compétences dans la recherche en TICE.</w:t>
      </w:r>
      <w:r w:rsidRPr="00590950">
        <w:rPr>
          <w:rFonts w:ascii="Arial" w:eastAsia="Times New Roman" w:hAnsi="Arial" w:cs="Arial"/>
          <w:color w:val="333333"/>
          <w:sz w:val="21"/>
          <w:szCs w:val="21"/>
          <w:lang w:eastAsia="fr-FR"/>
        </w:rPr>
        <w:br/>
        <w:t>A la fin de la formation les candidats se verront délivrer une attestation IFIC de suivi de la formation. Par ailleurs, un retour formatif final sur l’avancement du projet de thèse permettra à l’étudiant de continuer à travailler sur son projet dans l’attente d’une inscription en tant que doctorant.</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b/>
          <w:bCs/>
          <w:color w:val="333333"/>
          <w:sz w:val="21"/>
          <w:szCs w:val="21"/>
          <w:lang w:eastAsia="fr-FR"/>
        </w:rPr>
        <w:t>3- Conditions d’admissibilité </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Cette formation est ouverte aux étudiants dans les domaines fondateurs des technologies de l’information et de la communication au service de l’éducation (TICE), (éducation, informatique, psychologie, sciences de l’information). L’appel s’adresse aux étudiants francophones et les candidats éligibles doivent être :</w:t>
      </w:r>
    </w:p>
    <w:p w:rsidR="00590950" w:rsidRPr="00590950" w:rsidRDefault="00590950" w:rsidP="00590950">
      <w:pPr>
        <w:numPr>
          <w:ilvl w:val="0"/>
          <w:numId w:val="1"/>
        </w:numPr>
        <w:spacing w:before="100" w:beforeAutospacing="1" w:after="100" w:afterAutospacing="1" w:line="240" w:lineRule="auto"/>
        <w:ind w:left="270"/>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Titulaires d’un master;</w:t>
      </w:r>
    </w:p>
    <w:p w:rsidR="00590950" w:rsidRPr="00590950" w:rsidRDefault="00590950" w:rsidP="00590950">
      <w:pPr>
        <w:numPr>
          <w:ilvl w:val="0"/>
          <w:numId w:val="1"/>
        </w:numPr>
        <w:spacing w:before="100" w:beforeAutospacing="1" w:after="100" w:afterAutospacing="1" w:line="240" w:lineRule="auto"/>
        <w:ind w:left="270"/>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ou ingénieur en cinquième année d’étude ;</w:t>
      </w:r>
    </w:p>
    <w:p w:rsidR="00590950" w:rsidRPr="00590950" w:rsidRDefault="00590950" w:rsidP="00590950">
      <w:pPr>
        <w:numPr>
          <w:ilvl w:val="0"/>
          <w:numId w:val="1"/>
        </w:numPr>
        <w:spacing w:before="100" w:beforeAutospacing="1" w:after="100" w:afterAutospacing="1" w:line="240" w:lineRule="auto"/>
        <w:ind w:left="270"/>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ou étudiants inscrits en M2 et qui obtiendront leur diplôme avant Juin 2017.</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b/>
          <w:bCs/>
          <w:color w:val="333333"/>
          <w:sz w:val="21"/>
          <w:szCs w:val="21"/>
          <w:lang w:eastAsia="fr-FR"/>
        </w:rPr>
        <w:t>4- Programme</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Module 1 : Champs Conceptuels</w:t>
      </w:r>
      <w:r w:rsidRPr="00590950">
        <w:rPr>
          <w:rFonts w:ascii="Arial" w:eastAsia="Times New Roman" w:hAnsi="Arial" w:cs="Arial"/>
          <w:color w:val="333333"/>
          <w:sz w:val="21"/>
          <w:szCs w:val="21"/>
          <w:lang w:eastAsia="fr-FR"/>
        </w:rPr>
        <w:br/>
        <w:t>Module 2 : Problématisation de leur projet de recherche</w:t>
      </w:r>
      <w:r w:rsidRPr="00590950">
        <w:rPr>
          <w:rFonts w:ascii="Arial" w:eastAsia="Times New Roman" w:hAnsi="Arial" w:cs="Arial"/>
          <w:color w:val="333333"/>
          <w:sz w:val="21"/>
          <w:szCs w:val="21"/>
          <w:lang w:eastAsia="fr-FR"/>
        </w:rPr>
        <w:br/>
        <w:t>Module 3 : Approches et méthodes</w:t>
      </w:r>
      <w:r w:rsidRPr="00590950">
        <w:rPr>
          <w:rFonts w:ascii="Arial" w:eastAsia="Times New Roman" w:hAnsi="Arial" w:cs="Arial"/>
          <w:color w:val="333333"/>
          <w:sz w:val="21"/>
          <w:szCs w:val="21"/>
          <w:lang w:eastAsia="fr-FR"/>
        </w:rPr>
        <w:br/>
        <w:t>Module 4 : L’approche mixte et son utilisation en TICE</w:t>
      </w:r>
      <w:r w:rsidRPr="00590950">
        <w:rPr>
          <w:rFonts w:ascii="Arial" w:eastAsia="Times New Roman" w:hAnsi="Arial" w:cs="Arial"/>
          <w:color w:val="333333"/>
          <w:sz w:val="21"/>
          <w:szCs w:val="21"/>
          <w:lang w:eastAsia="fr-FR"/>
        </w:rPr>
        <w:br/>
        <w:t>Module 5 : Révision du canevas</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b/>
          <w:bCs/>
          <w:color w:val="333333"/>
          <w:sz w:val="21"/>
          <w:szCs w:val="21"/>
          <w:lang w:eastAsia="fr-FR"/>
        </w:rPr>
        <w:t>5-Constitution du dossier et modalités de candidature</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Le dossier de candidature doit comprendre les pièces suivantes </w:t>
      </w:r>
      <w:proofErr w:type="gramStart"/>
      <w:r w:rsidRPr="00590950">
        <w:rPr>
          <w:rFonts w:ascii="Arial" w:eastAsia="Times New Roman" w:hAnsi="Arial" w:cs="Arial"/>
          <w:color w:val="333333"/>
          <w:sz w:val="21"/>
          <w:szCs w:val="21"/>
          <w:lang w:eastAsia="fr-FR"/>
        </w:rPr>
        <w:t>:</w:t>
      </w:r>
      <w:proofErr w:type="gramEnd"/>
      <w:r w:rsidRPr="00590950">
        <w:rPr>
          <w:rFonts w:ascii="Arial" w:eastAsia="Times New Roman" w:hAnsi="Arial" w:cs="Arial"/>
          <w:color w:val="333333"/>
          <w:sz w:val="21"/>
          <w:szCs w:val="21"/>
          <w:lang w:eastAsia="fr-FR"/>
        </w:rPr>
        <w:br/>
        <w:t>1. </w:t>
      </w:r>
      <w:hyperlink r:id="rId10" w:tgtFrame="_blank" w:history="1">
        <w:r w:rsidRPr="00590950">
          <w:rPr>
            <w:rFonts w:ascii="Arial" w:eastAsia="Times New Roman" w:hAnsi="Arial" w:cs="Arial"/>
            <w:color w:val="428BCA"/>
            <w:sz w:val="21"/>
            <w:szCs w:val="21"/>
            <w:u w:val="single"/>
            <w:lang w:eastAsia="fr-FR"/>
          </w:rPr>
          <w:t>Formulaire de demande d’inscription</w:t>
        </w:r>
      </w:hyperlink>
      <w:r w:rsidRPr="00590950">
        <w:rPr>
          <w:rFonts w:ascii="Arial" w:eastAsia="Times New Roman" w:hAnsi="Arial" w:cs="Arial"/>
          <w:color w:val="333333"/>
          <w:sz w:val="21"/>
          <w:szCs w:val="21"/>
          <w:lang w:eastAsia="fr-FR"/>
        </w:rPr>
        <w:t> à compléter en ligne ;</w:t>
      </w:r>
      <w:r w:rsidRPr="00590950">
        <w:rPr>
          <w:rFonts w:ascii="Arial" w:eastAsia="Times New Roman" w:hAnsi="Arial" w:cs="Arial"/>
          <w:color w:val="333333"/>
          <w:sz w:val="21"/>
          <w:szCs w:val="21"/>
          <w:lang w:eastAsia="fr-FR"/>
        </w:rPr>
        <w:br/>
        <w:t>2. Lettre de motivation ;</w:t>
      </w:r>
      <w:r w:rsidRPr="00590950">
        <w:rPr>
          <w:rFonts w:ascii="Arial" w:eastAsia="Times New Roman" w:hAnsi="Arial" w:cs="Arial"/>
          <w:color w:val="333333"/>
          <w:sz w:val="21"/>
          <w:szCs w:val="21"/>
          <w:lang w:eastAsia="fr-FR"/>
        </w:rPr>
        <w:br/>
        <w:t>3. Curriculum vitae actualisé, année après année, depuis le bac ;</w:t>
      </w:r>
      <w:r w:rsidRPr="00590950">
        <w:rPr>
          <w:rFonts w:ascii="Arial" w:eastAsia="Times New Roman" w:hAnsi="Arial" w:cs="Arial"/>
          <w:color w:val="333333"/>
          <w:sz w:val="21"/>
          <w:szCs w:val="21"/>
          <w:lang w:eastAsia="fr-FR"/>
        </w:rPr>
        <w:br/>
        <w:t>4. Le mémoire de Master ; </w:t>
      </w:r>
      <w:r w:rsidRPr="00590950">
        <w:rPr>
          <w:rFonts w:ascii="Arial" w:eastAsia="Times New Roman" w:hAnsi="Arial" w:cs="Arial"/>
          <w:color w:val="333333"/>
          <w:sz w:val="21"/>
          <w:szCs w:val="21"/>
          <w:lang w:eastAsia="fr-FR"/>
        </w:rPr>
        <w:br/>
        <w:t>5. Copies des diplômes obtenus ; </w:t>
      </w:r>
      <w:r w:rsidRPr="00590950">
        <w:rPr>
          <w:rFonts w:ascii="Arial" w:eastAsia="Times New Roman" w:hAnsi="Arial" w:cs="Arial"/>
          <w:color w:val="333333"/>
          <w:sz w:val="21"/>
          <w:szCs w:val="21"/>
          <w:lang w:eastAsia="fr-FR"/>
        </w:rPr>
        <w:br/>
      </w:r>
      <w:r w:rsidRPr="00590950">
        <w:rPr>
          <w:rFonts w:ascii="Arial" w:eastAsia="Times New Roman" w:hAnsi="Arial" w:cs="Arial"/>
          <w:color w:val="333333"/>
          <w:sz w:val="21"/>
          <w:szCs w:val="21"/>
          <w:lang w:eastAsia="fr-FR"/>
        </w:rPr>
        <w:lastRenderedPageBreak/>
        <w:t>6. Une lettre d’engagement (de s’impliquer activement dans la formation et de payer la somme requise).</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b/>
          <w:bCs/>
          <w:color w:val="333333"/>
          <w:sz w:val="21"/>
          <w:szCs w:val="21"/>
          <w:lang w:eastAsia="fr-FR"/>
        </w:rPr>
        <w:t>6- Frais d’inscription</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En cas de sélection : 220 euros ou l’équivalent en monnaie locale + 50 euros </w:t>
      </w:r>
      <w:proofErr w:type="spellStart"/>
      <w:r w:rsidRPr="00590950">
        <w:rPr>
          <w:rFonts w:ascii="Arial" w:eastAsia="Times New Roman" w:hAnsi="Arial" w:cs="Arial"/>
          <w:color w:val="333333"/>
          <w:sz w:val="21"/>
          <w:szCs w:val="21"/>
          <w:lang w:eastAsia="fr-FR"/>
        </w:rPr>
        <w:t>pur</w:t>
      </w:r>
      <w:proofErr w:type="spellEnd"/>
      <w:r w:rsidRPr="00590950">
        <w:rPr>
          <w:rFonts w:ascii="Arial" w:eastAsia="Times New Roman" w:hAnsi="Arial" w:cs="Arial"/>
          <w:color w:val="333333"/>
          <w:sz w:val="21"/>
          <w:szCs w:val="21"/>
          <w:lang w:eastAsia="fr-FR"/>
        </w:rPr>
        <w:t xml:space="preserve"> les étudiants désirant avoir un diplôme universitaire de l'université de Lille 1</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b/>
          <w:bCs/>
          <w:color w:val="333333"/>
          <w:sz w:val="21"/>
          <w:szCs w:val="21"/>
          <w:lang w:eastAsia="fr-FR"/>
        </w:rPr>
        <w:t>7 - Dates à retenir (</w:t>
      </w:r>
      <w:r w:rsidRPr="00590950">
        <w:rPr>
          <w:rFonts w:ascii="Arial" w:eastAsia="Times New Roman" w:hAnsi="Arial" w:cs="Arial"/>
          <w:b/>
          <w:bCs/>
          <w:i/>
          <w:iCs/>
          <w:color w:val="FF0000"/>
          <w:sz w:val="21"/>
          <w:szCs w:val="21"/>
          <w:lang w:eastAsia="fr-FR"/>
        </w:rPr>
        <w:t>Nouvelles dates</w:t>
      </w:r>
      <w:r w:rsidRPr="00590950">
        <w:rPr>
          <w:rFonts w:ascii="Arial" w:eastAsia="Times New Roman" w:hAnsi="Arial" w:cs="Arial"/>
          <w:b/>
          <w:bCs/>
          <w:color w:val="333333"/>
          <w:sz w:val="21"/>
          <w:szCs w:val="21"/>
          <w:lang w:eastAsia="fr-FR"/>
        </w:rPr>
        <w:t>)</w:t>
      </w:r>
    </w:p>
    <w:p w:rsidR="00590950" w:rsidRPr="00590950" w:rsidRDefault="00590950" w:rsidP="00590950">
      <w:pPr>
        <w:spacing w:after="150" w:line="240" w:lineRule="auto"/>
        <w:rPr>
          <w:rFonts w:ascii="open_sanssemibold" w:eastAsia="Times New Roman" w:hAnsi="open_sanssemibold" w:cs="Arial"/>
          <w:color w:val="333333"/>
          <w:sz w:val="18"/>
          <w:szCs w:val="18"/>
          <w:lang w:eastAsia="fr-FR"/>
        </w:rPr>
      </w:pPr>
      <w:r w:rsidRPr="00590950">
        <w:rPr>
          <w:rFonts w:ascii="Arial" w:eastAsia="Times New Roman" w:hAnsi="Arial" w:cs="Arial"/>
          <w:color w:val="333333"/>
          <w:sz w:val="21"/>
          <w:szCs w:val="21"/>
          <w:lang w:eastAsia="fr-FR"/>
        </w:rPr>
        <w:t xml:space="preserve">Dernier délai pour soumettre la candidature : </w:t>
      </w:r>
      <w:r w:rsidRPr="00590950">
        <w:rPr>
          <w:rFonts w:ascii="Arial" w:eastAsia="Times New Roman" w:hAnsi="Arial" w:cs="Arial"/>
          <w:color w:val="FF0000"/>
          <w:sz w:val="21"/>
          <w:szCs w:val="21"/>
          <w:lang w:eastAsia="fr-FR"/>
        </w:rPr>
        <w:t>15 janvier 2017</w:t>
      </w:r>
      <w:r w:rsidRPr="00590950">
        <w:rPr>
          <w:rFonts w:ascii="Arial" w:eastAsia="Times New Roman" w:hAnsi="Arial" w:cs="Arial"/>
          <w:color w:val="333333"/>
          <w:sz w:val="21"/>
          <w:szCs w:val="21"/>
          <w:lang w:eastAsia="fr-FR"/>
        </w:rPr>
        <w:br/>
        <w:t>Annonce des candidatures retenues (Liste principale)</w:t>
      </w:r>
      <w:proofErr w:type="gramStart"/>
      <w:r w:rsidRPr="00590950">
        <w:rPr>
          <w:rFonts w:ascii="Arial" w:eastAsia="Times New Roman" w:hAnsi="Arial" w:cs="Arial"/>
          <w:color w:val="333333"/>
          <w:sz w:val="21"/>
          <w:szCs w:val="21"/>
          <w:lang w:eastAsia="fr-FR"/>
        </w:rPr>
        <w:t>  :</w:t>
      </w:r>
      <w:proofErr w:type="gramEnd"/>
      <w:r w:rsidRPr="00590950">
        <w:rPr>
          <w:rFonts w:ascii="Arial" w:eastAsia="Times New Roman" w:hAnsi="Arial" w:cs="Arial"/>
          <w:color w:val="333333"/>
          <w:sz w:val="21"/>
          <w:szCs w:val="21"/>
          <w:lang w:eastAsia="fr-FR"/>
        </w:rPr>
        <w:t xml:space="preserve"> </w:t>
      </w:r>
      <w:r w:rsidRPr="00590950">
        <w:rPr>
          <w:rFonts w:ascii="Arial" w:eastAsia="Times New Roman" w:hAnsi="Arial" w:cs="Arial"/>
          <w:color w:val="FF0000"/>
          <w:sz w:val="21"/>
          <w:szCs w:val="21"/>
          <w:lang w:eastAsia="fr-FR"/>
        </w:rPr>
        <w:t>27 janvier 2017</w:t>
      </w:r>
      <w:r w:rsidRPr="00590950">
        <w:rPr>
          <w:rFonts w:ascii="Arial" w:eastAsia="Times New Roman" w:hAnsi="Arial" w:cs="Arial"/>
          <w:color w:val="333333"/>
          <w:sz w:val="21"/>
          <w:szCs w:val="21"/>
          <w:lang w:eastAsia="fr-FR"/>
        </w:rPr>
        <w:br/>
        <w:t xml:space="preserve">Dernier délai pour valider l’inscription (Liste principale) : </w:t>
      </w:r>
      <w:r w:rsidRPr="00590950">
        <w:rPr>
          <w:rFonts w:ascii="Arial" w:eastAsia="Times New Roman" w:hAnsi="Arial" w:cs="Arial"/>
          <w:color w:val="FF0000"/>
          <w:sz w:val="21"/>
          <w:szCs w:val="21"/>
          <w:lang w:eastAsia="fr-FR"/>
        </w:rPr>
        <w:t>15 février 2017</w:t>
      </w:r>
      <w:r w:rsidRPr="00590950">
        <w:rPr>
          <w:rFonts w:ascii="open_sanssemibold" w:eastAsia="Times New Roman" w:hAnsi="open_sanssemibold" w:cs="Arial"/>
          <w:color w:val="333333"/>
          <w:sz w:val="18"/>
          <w:szCs w:val="18"/>
          <w:lang w:eastAsia="fr-FR"/>
        </w:rPr>
        <w:br/>
      </w:r>
      <w:r w:rsidRPr="00590950">
        <w:rPr>
          <w:rFonts w:ascii="Arial" w:eastAsia="Times New Roman" w:hAnsi="Arial" w:cs="Arial"/>
          <w:color w:val="333333"/>
          <w:sz w:val="21"/>
          <w:szCs w:val="21"/>
          <w:lang w:eastAsia="fr-FR"/>
        </w:rPr>
        <w:t>Annonce des candidatures retenues (Liste d'attente) : </w:t>
      </w:r>
      <w:r w:rsidRPr="00590950">
        <w:rPr>
          <w:rFonts w:ascii="Arial" w:eastAsia="Times New Roman" w:hAnsi="Arial" w:cs="Arial"/>
          <w:color w:val="FF0000"/>
          <w:sz w:val="21"/>
          <w:szCs w:val="21"/>
          <w:lang w:eastAsia="fr-FR"/>
        </w:rPr>
        <w:t>16 février 2017</w:t>
      </w:r>
      <w:r w:rsidRPr="00590950">
        <w:rPr>
          <w:rFonts w:ascii="open_sanssemibold" w:eastAsia="Times New Roman" w:hAnsi="open_sanssemibold" w:cs="Arial"/>
          <w:color w:val="333333"/>
          <w:sz w:val="18"/>
          <w:szCs w:val="18"/>
          <w:lang w:eastAsia="fr-FR"/>
        </w:rPr>
        <w:br/>
      </w:r>
      <w:r w:rsidRPr="00590950">
        <w:rPr>
          <w:rFonts w:ascii="Arial" w:eastAsia="Times New Roman" w:hAnsi="Arial" w:cs="Arial"/>
          <w:color w:val="333333"/>
          <w:sz w:val="21"/>
          <w:szCs w:val="21"/>
          <w:lang w:eastAsia="fr-FR"/>
        </w:rPr>
        <w:t>Dernier délai pour valider l’inscription (Liste d'attente) : </w:t>
      </w:r>
      <w:r w:rsidRPr="00590950">
        <w:rPr>
          <w:rFonts w:ascii="Arial" w:eastAsia="Times New Roman" w:hAnsi="Arial" w:cs="Arial"/>
          <w:color w:val="FF0000"/>
          <w:sz w:val="21"/>
          <w:szCs w:val="21"/>
          <w:lang w:eastAsia="fr-FR"/>
        </w:rPr>
        <w:t>28 février 2017</w:t>
      </w:r>
      <w:r w:rsidRPr="00590950">
        <w:rPr>
          <w:rFonts w:ascii="open_sanssemibold" w:eastAsia="Times New Roman" w:hAnsi="open_sanssemibold" w:cs="Arial"/>
          <w:color w:val="333333"/>
          <w:sz w:val="18"/>
          <w:szCs w:val="18"/>
          <w:lang w:eastAsia="fr-FR"/>
        </w:rPr>
        <w:br/>
      </w:r>
      <w:r w:rsidRPr="00590950">
        <w:rPr>
          <w:rFonts w:ascii="Arial" w:eastAsia="Times New Roman" w:hAnsi="Arial" w:cs="Arial"/>
          <w:color w:val="333333"/>
          <w:sz w:val="21"/>
          <w:szCs w:val="21"/>
          <w:lang w:eastAsia="fr-FR"/>
        </w:rPr>
        <w:t xml:space="preserve">Début de la formation : </w:t>
      </w:r>
      <w:r w:rsidRPr="00590950">
        <w:rPr>
          <w:rFonts w:ascii="Arial" w:eastAsia="Times New Roman" w:hAnsi="Arial" w:cs="Arial"/>
          <w:color w:val="FF0000"/>
          <w:sz w:val="21"/>
          <w:szCs w:val="21"/>
          <w:lang w:eastAsia="fr-FR"/>
        </w:rPr>
        <w:t>06 mars 2017</w:t>
      </w:r>
    </w:p>
    <w:p w:rsidR="008A3380" w:rsidRDefault="008A3380" w:rsidP="00590950"/>
    <w:sectPr w:rsidR="008A3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_sanssemi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4A55"/>
    <w:multiLevelType w:val="multilevel"/>
    <w:tmpl w:val="C4F8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50"/>
    <w:rsid w:val="00590950"/>
    <w:rsid w:val="008A3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0950"/>
    <w:rPr>
      <w:strike w:val="0"/>
      <w:dstrike w:val="0"/>
      <w:color w:val="428BCA"/>
      <w:u w:val="none"/>
      <w:effect w:val="none"/>
      <w:shd w:val="clear" w:color="auto" w:fill="auto"/>
    </w:rPr>
  </w:style>
  <w:style w:type="character" w:styleId="Accentuation">
    <w:name w:val="Emphasis"/>
    <w:basedOn w:val="Policepardfaut"/>
    <w:uiPriority w:val="20"/>
    <w:qFormat/>
    <w:rsid w:val="00590950"/>
    <w:rPr>
      <w:i/>
      <w:iCs/>
    </w:rPr>
  </w:style>
  <w:style w:type="character" w:styleId="lev">
    <w:name w:val="Strong"/>
    <w:basedOn w:val="Policepardfaut"/>
    <w:uiPriority w:val="22"/>
    <w:qFormat/>
    <w:rsid w:val="00590950"/>
    <w:rPr>
      <w:b/>
      <w:bCs/>
    </w:rPr>
  </w:style>
  <w:style w:type="paragraph" w:customStyle="1" w:styleId="rtejustify">
    <w:name w:val="rtejustify"/>
    <w:basedOn w:val="Normal"/>
    <w:rsid w:val="00590950"/>
    <w:pPr>
      <w:spacing w:after="150" w:line="240" w:lineRule="auto"/>
      <w:jc w:val="both"/>
    </w:pPr>
    <w:rPr>
      <w:rFonts w:ascii="Times New Roman" w:eastAsia="Times New Roman" w:hAnsi="Times New Roman" w:cs="Times New Roman"/>
      <w:sz w:val="24"/>
      <w:szCs w:val="24"/>
      <w:lang w:eastAsia="fr-FR"/>
    </w:rPr>
  </w:style>
  <w:style w:type="character" w:customStyle="1" w:styleId="date-display-single6">
    <w:name w:val="date-display-single6"/>
    <w:basedOn w:val="Policepardfaut"/>
    <w:rsid w:val="00590950"/>
    <w:rPr>
      <w:rFonts w:ascii="open_sanssemibold" w:hAnsi="open_sanssemibold" w:hint="default"/>
      <w:color w:val="1C1C1C"/>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0950"/>
    <w:rPr>
      <w:strike w:val="0"/>
      <w:dstrike w:val="0"/>
      <w:color w:val="428BCA"/>
      <w:u w:val="none"/>
      <w:effect w:val="none"/>
      <w:shd w:val="clear" w:color="auto" w:fill="auto"/>
    </w:rPr>
  </w:style>
  <w:style w:type="character" w:styleId="Accentuation">
    <w:name w:val="Emphasis"/>
    <w:basedOn w:val="Policepardfaut"/>
    <w:uiPriority w:val="20"/>
    <w:qFormat/>
    <w:rsid w:val="00590950"/>
    <w:rPr>
      <w:i/>
      <w:iCs/>
    </w:rPr>
  </w:style>
  <w:style w:type="character" w:styleId="lev">
    <w:name w:val="Strong"/>
    <w:basedOn w:val="Policepardfaut"/>
    <w:uiPriority w:val="22"/>
    <w:qFormat/>
    <w:rsid w:val="00590950"/>
    <w:rPr>
      <w:b/>
      <w:bCs/>
    </w:rPr>
  </w:style>
  <w:style w:type="paragraph" w:customStyle="1" w:styleId="rtejustify">
    <w:name w:val="rtejustify"/>
    <w:basedOn w:val="Normal"/>
    <w:rsid w:val="00590950"/>
    <w:pPr>
      <w:spacing w:after="150" w:line="240" w:lineRule="auto"/>
      <w:jc w:val="both"/>
    </w:pPr>
    <w:rPr>
      <w:rFonts w:ascii="Times New Roman" w:eastAsia="Times New Roman" w:hAnsi="Times New Roman" w:cs="Times New Roman"/>
      <w:sz w:val="24"/>
      <w:szCs w:val="24"/>
      <w:lang w:eastAsia="fr-FR"/>
    </w:rPr>
  </w:style>
  <w:style w:type="character" w:customStyle="1" w:styleId="date-display-single6">
    <w:name w:val="date-display-single6"/>
    <w:basedOn w:val="Policepardfaut"/>
    <w:rsid w:val="00590950"/>
    <w:rPr>
      <w:rFonts w:ascii="open_sanssemibold" w:hAnsi="open_sanssemibold" w:hint="default"/>
      <w:color w:val="1C1C1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6097">
      <w:bodyDiv w:val="1"/>
      <w:marLeft w:val="0"/>
      <w:marRight w:val="0"/>
      <w:marTop w:val="0"/>
      <w:marBottom w:val="0"/>
      <w:divBdr>
        <w:top w:val="none" w:sz="0" w:space="0" w:color="auto"/>
        <w:left w:val="none" w:sz="0" w:space="0" w:color="auto"/>
        <w:bottom w:val="none" w:sz="0" w:space="0" w:color="auto"/>
        <w:right w:val="none" w:sz="0" w:space="0" w:color="auto"/>
      </w:divBdr>
      <w:divsChild>
        <w:div w:id="1801143674">
          <w:marLeft w:val="0"/>
          <w:marRight w:val="0"/>
          <w:marTop w:val="0"/>
          <w:marBottom w:val="0"/>
          <w:divBdr>
            <w:top w:val="none" w:sz="0" w:space="0" w:color="auto"/>
            <w:left w:val="none" w:sz="0" w:space="0" w:color="auto"/>
            <w:bottom w:val="none" w:sz="0" w:space="0" w:color="auto"/>
            <w:right w:val="none" w:sz="0" w:space="0" w:color="auto"/>
          </w:divBdr>
          <w:divsChild>
            <w:div w:id="572929911">
              <w:marLeft w:val="-225"/>
              <w:marRight w:val="-225"/>
              <w:marTop w:val="0"/>
              <w:marBottom w:val="0"/>
              <w:divBdr>
                <w:top w:val="none" w:sz="0" w:space="0" w:color="auto"/>
                <w:left w:val="none" w:sz="0" w:space="0" w:color="auto"/>
                <w:bottom w:val="none" w:sz="0" w:space="0" w:color="auto"/>
                <w:right w:val="none" w:sz="0" w:space="0" w:color="auto"/>
              </w:divBdr>
              <w:divsChild>
                <w:div w:id="1491023296">
                  <w:marLeft w:val="0"/>
                  <w:marRight w:val="0"/>
                  <w:marTop w:val="0"/>
                  <w:marBottom w:val="0"/>
                  <w:divBdr>
                    <w:top w:val="none" w:sz="0" w:space="0" w:color="auto"/>
                    <w:left w:val="none" w:sz="0" w:space="0" w:color="auto"/>
                    <w:bottom w:val="none" w:sz="0" w:space="0" w:color="auto"/>
                    <w:right w:val="none" w:sz="0" w:space="0" w:color="auto"/>
                  </w:divBdr>
                  <w:divsChild>
                    <w:div w:id="1291474959">
                      <w:marLeft w:val="0"/>
                      <w:marRight w:val="0"/>
                      <w:marTop w:val="0"/>
                      <w:marBottom w:val="0"/>
                      <w:divBdr>
                        <w:top w:val="none" w:sz="0" w:space="0" w:color="auto"/>
                        <w:left w:val="none" w:sz="0" w:space="0" w:color="auto"/>
                        <w:bottom w:val="none" w:sz="0" w:space="0" w:color="auto"/>
                        <w:right w:val="none" w:sz="0" w:space="0" w:color="auto"/>
                      </w:divBdr>
                      <w:divsChild>
                        <w:div w:id="345912579">
                          <w:marLeft w:val="-225"/>
                          <w:marRight w:val="-225"/>
                          <w:marTop w:val="0"/>
                          <w:marBottom w:val="0"/>
                          <w:divBdr>
                            <w:top w:val="none" w:sz="0" w:space="0" w:color="auto"/>
                            <w:left w:val="none" w:sz="0" w:space="0" w:color="auto"/>
                            <w:bottom w:val="none" w:sz="0" w:space="0" w:color="auto"/>
                            <w:right w:val="none" w:sz="0" w:space="0" w:color="auto"/>
                          </w:divBdr>
                          <w:divsChild>
                            <w:div w:id="1073163825">
                              <w:marLeft w:val="0"/>
                              <w:marRight w:val="0"/>
                              <w:marTop w:val="0"/>
                              <w:marBottom w:val="0"/>
                              <w:divBdr>
                                <w:top w:val="none" w:sz="0" w:space="0" w:color="auto"/>
                                <w:left w:val="none" w:sz="0" w:space="0" w:color="auto"/>
                                <w:bottom w:val="none" w:sz="0" w:space="0" w:color="auto"/>
                                <w:right w:val="none" w:sz="0" w:space="0" w:color="auto"/>
                              </w:divBdr>
                              <w:divsChild>
                                <w:div w:id="1273318393">
                                  <w:marLeft w:val="0"/>
                                  <w:marRight w:val="0"/>
                                  <w:marTop w:val="0"/>
                                  <w:marBottom w:val="0"/>
                                  <w:divBdr>
                                    <w:top w:val="none" w:sz="0" w:space="0" w:color="auto"/>
                                    <w:left w:val="none" w:sz="0" w:space="0" w:color="auto"/>
                                    <w:bottom w:val="none" w:sz="0" w:space="0" w:color="auto"/>
                                    <w:right w:val="none" w:sz="0" w:space="0" w:color="auto"/>
                                  </w:divBdr>
                                  <w:divsChild>
                                    <w:div w:id="920527099">
                                      <w:marLeft w:val="0"/>
                                      <w:marRight w:val="0"/>
                                      <w:marTop w:val="0"/>
                                      <w:marBottom w:val="0"/>
                                      <w:divBdr>
                                        <w:top w:val="none" w:sz="0" w:space="0" w:color="auto"/>
                                        <w:left w:val="none" w:sz="0" w:space="0" w:color="auto"/>
                                        <w:bottom w:val="none" w:sz="0" w:space="0" w:color="auto"/>
                                        <w:right w:val="none" w:sz="0" w:space="0" w:color="auto"/>
                                      </w:divBdr>
                                      <w:divsChild>
                                        <w:div w:id="1333335367">
                                          <w:marLeft w:val="0"/>
                                          <w:marRight w:val="0"/>
                                          <w:marTop w:val="0"/>
                                          <w:marBottom w:val="0"/>
                                          <w:divBdr>
                                            <w:top w:val="none" w:sz="0" w:space="0" w:color="auto"/>
                                            <w:left w:val="none" w:sz="0" w:space="0" w:color="auto"/>
                                            <w:bottom w:val="none" w:sz="0" w:space="0" w:color="auto"/>
                                            <w:right w:val="none" w:sz="0" w:space="0" w:color="auto"/>
                                          </w:divBdr>
                                        </w:div>
                                        <w:div w:id="1357730590">
                                          <w:marLeft w:val="0"/>
                                          <w:marRight w:val="0"/>
                                          <w:marTop w:val="300"/>
                                          <w:marBottom w:val="300"/>
                                          <w:divBdr>
                                            <w:top w:val="none" w:sz="0" w:space="0" w:color="auto"/>
                                            <w:left w:val="none" w:sz="0" w:space="0" w:color="auto"/>
                                            <w:bottom w:val="none" w:sz="0" w:space="0" w:color="auto"/>
                                            <w:right w:val="none" w:sz="0" w:space="0" w:color="auto"/>
                                          </w:divBdr>
                                        </w:div>
                                        <w:div w:id="1135173227">
                                          <w:marLeft w:val="0"/>
                                          <w:marRight w:val="0"/>
                                          <w:marTop w:val="0"/>
                                          <w:marBottom w:val="0"/>
                                          <w:divBdr>
                                            <w:top w:val="none" w:sz="0" w:space="0" w:color="auto"/>
                                            <w:left w:val="none" w:sz="0" w:space="0" w:color="auto"/>
                                            <w:bottom w:val="none" w:sz="0" w:space="0" w:color="auto"/>
                                            <w:right w:val="none" w:sz="0" w:space="0" w:color="auto"/>
                                          </w:divBdr>
                                        </w:div>
                                        <w:div w:id="55065401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fic.auf.org/tags/mirrtic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ulaires.auf.org/" TargetMode="External"/><Relationship Id="rId4" Type="http://schemas.openxmlformats.org/officeDocument/2006/relationships/settings" Target="settings.xml"/><Relationship Id="rId9" Type="http://schemas.openxmlformats.org/officeDocument/2006/relationships/hyperlink" Target="http://ific.auf.org/mediath%C3%A9que/incubateur-doctoral-projet-mirrti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668</Words>
  <Characters>3678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2017-05-16T08:28:00Z</dcterms:created>
  <dcterms:modified xsi:type="dcterms:W3CDTF">2017-05-16T08:35:00Z</dcterms:modified>
</cp:coreProperties>
</file>